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4" w:rsidRPr="006A51E6" w:rsidRDefault="002912C4" w:rsidP="0029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14/1999</w:t>
      </w:r>
    </w:p>
    <w:p w:rsidR="002912C4" w:rsidRPr="006A51E6" w:rsidRDefault="002912C4" w:rsidP="0029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ARHEOLOGIE-ISTORIE</w:t>
      </w:r>
    </w:p>
    <w:p w:rsidR="008251BF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Marin Nica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Câteva date despre aşezarea neoliticului timpuriu de la Locusteni (jud. Dolj)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(Some data concerning the Early Neolithic Settlement from Locusteni, Dolj </w:t>
      </w:r>
    </w:p>
    <w:p w:rsidR="002912C4" w:rsidRPr="006A51E6" w:rsidRDefault="002912C4" w:rsidP="008251BF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Country)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Simona Lazăr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Contribuţii la repertoriul arheologic al judeţului Dolj. Hallstatt-ul timpuriu şi mijlociu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(Contribution to the Archeological Repertory of the District of Dolj. Early and the Middle </w:t>
      </w:r>
      <w:r w:rsidR="00000DEB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allstatt)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19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Dan Bălteanu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Aria de recrutare a trupelor auxiliare din provinciile moesice în perioada Principatului (I)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(The Recruitment of the Roman Auxiliary Units in the Moesian Provinces during the Early Empire (I))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39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Sorin Nemeti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Isis – Afrodita „impudica” de la Romula. Contribuţii la studiul iconografiei Isidiei în Dacia romană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(Isis- Aphrodite „Impudica” from Romula)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73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Paul Barbu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Băncile populare între anii 1918-1928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(The Popular Banks between 1918-1928)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95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FILOLOGIE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Ion Calotă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Un dicţionar ortografic în două ediţii </w:t>
      </w:r>
      <w:r w:rsidR="005A0243">
        <w:rPr>
          <w:rFonts w:ascii="Times New Roman" w:hAnsi="Times New Roman" w:cs="Times New Roman"/>
          <w:sz w:val="24"/>
          <w:szCs w:val="24"/>
          <w:lang w:val="ro-RO"/>
        </w:rPr>
        <w:t xml:space="preserve">(Un dictionnaire ortographique en deux éditions)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115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Anda-Irina Rădulescu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Remarques sur le comportement des groupes prépositionnels en dans comme déterminants du verbe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125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Elena-Camelia Zăbavă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Antroponime derivate de la toponime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(Family Names Derived from Place-name)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131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Stela Rădulescu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Onomastica satului Zănoaga, jud. Dolj (prenume, porecle şi supranume)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06EB">
        <w:rPr>
          <w:rFonts w:ascii="Times New Roman" w:hAnsi="Times New Roman" w:cs="Times New Roman"/>
          <w:sz w:val="24"/>
          <w:szCs w:val="24"/>
          <w:lang w:val="ro-RO"/>
        </w:rPr>
        <w:t xml:space="preserve">(Onomastique du village Zănoaga, dép. de Dolj. Prénoms et surnoms)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139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Maria Tronea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Valenţe stilistice ale onomasticii în romanul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Cartea milionarului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Ştefan Bănulescu </w:t>
      </w:r>
      <w:r w:rsidR="00C3486E">
        <w:rPr>
          <w:rFonts w:ascii="Times New Roman" w:hAnsi="Times New Roman" w:cs="Times New Roman"/>
          <w:sz w:val="24"/>
          <w:szCs w:val="24"/>
          <w:lang w:val="ro-RO"/>
        </w:rPr>
        <w:t xml:space="preserve">(Valeurs stylistiques de l'onomastique dans </w:t>
      </w:r>
      <w:r w:rsidR="00C3486E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 livre du millionaire </w:t>
      </w:r>
      <w:r w:rsidR="00C3486E" w:rsidRPr="00052F7A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052F7A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C3486E" w:rsidRPr="00052F7A">
        <w:rPr>
          <w:rFonts w:ascii="Times New Roman" w:hAnsi="Times New Roman" w:cs="Times New Roman"/>
          <w:sz w:val="24"/>
          <w:szCs w:val="24"/>
          <w:lang w:val="ro-RO"/>
        </w:rPr>
        <w:t>tefan Bănulescu)</w:t>
      </w:r>
      <w:r w:rsidR="00C348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151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Mihaela Albu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Lucrare în cuvânt sau Tudor Arghezi – un poet al prozei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(Tudor Arghezi-a Poet of Prose)</w:t>
      </w:r>
      <w:r w:rsidR="00580D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159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Alina Berceanu-Vâlceanu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Maria Sorescu- valorificarea fondului autohton (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Descântoteca. La lilieci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) </w:t>
      </w:r>
      <w:r w:rsidR="00580D92" w:rsidRPr="00580D9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C3F46" w:rsidRPr="00FC3F46">
        <w:rPr>
          <w:rFonts w:ascii="Times New Roman" w:hAnsi="Times New Roman" w:cs="Times New Roman"/>
          <w:sz w:val="24"/>
          <w:szCs w:val="24"/>
          <w:lang w:val="ro-RO"/>
        </w:rPr>
        <w:t>Maria Sorescu – La mise</w:t>
      </w:r>
      <w:r w:rsidR="003D115A">
        <w:rPr>
          <w:rFonts w:ascii="Times New Roman" w:hAnsi="Times New Roman" w:cs="Times New Roman"/>
          <w:sz w:val="24"/>
          <w:szCs w:val="24"/>
          <w:lang w:val="ro-RO"/>
        </w:rPr>
        <w:t xml:space="preserve"> en valeur du fonde autochtone. Descântoteca. La lilieci</w:t>
      </w:r>
      <w:r w:rsidR="00580D92" w:rsidRPr="00580D9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580D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163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Adrian Mateescu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, Resurecţia lirismului</w:t>
      </w:r>
      <w:r w:rsidR="00C542B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textul narativ (Analiza imaginii în romanul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Luntrea lui Caron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Lucian Blaga) </w:t>
      </w:r>
      <w:r w:rsidR="003D115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051597">
        <w:rPr>
          <w:rFonts w:ascii="Times New Roman" w:hAnsi="Times New Roman" w:cs="Times New Roman"/>
          <w:sz w:val="24"/>
          <w:szCs w:val="24"/>
          <w:lang w:val="ro-RO"/>
        </w:rPr>
        <w:t xml:space="preserve">La résurrection du lyrisme dans le text narratif. L'analyse de l'image dans le roman </w:t>
      </w:r>
      <w:r w:rsidR="00051597">
        <w:rPr>
          <w:rFonts w:ascii="Times New Roman" w:hAnsi="Times New Roman" w:cs="Times New Roman"/>
          <w:i/>
          <w:sz w:val="24"/>
          <w:szCs w:val="24"/>
          <w:lang w:val="ro-RO"/>
        </w:rPr>
        <w:t xml:space="preserve">La barque de Caron </w:t>
      </w:r>
      <w:r w:rsidR="00051597">
        <w:rPr>
          <w:rFonts w:ascii="Times New Roman" w:hAnsi="Times New Roman" w:cs="Times New Roman"/>
          <w:sz w:val="24"/>
          <w:szCs w:val="24"/>
          <w:lang w:val="ro-RO"/>
        </w:rPr>
        <w:t>par Lucian Blaga</w:t>
      </w:r>
      <w:r w:rsidR="003D115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173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Emilia Parpală-Afana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Semantica unui concept: retorica </w:t>
      </w:r>
      <w:r w:rsidR="00D87FF2">
        <w:rPr>
          <w:rFonts w:ascii="Times New Roman" w:hAnsi="Times New Roman" w:cs="Times New Roman"/>
          <w:sz w:val="24"/>
          <w:szCs w:val="24"/>
          <w:lang w:val="ro-RO"/>
        </w:rPr>
        <w:t xml:space="preserve">(La sémantique d'un concept: la rhétirique)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177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ETNOGRAFIE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Gheorghe Iordache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Despre „moşitul” la români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(Childbirth (moşitul) with the Romanian People)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185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Georgeta Niţu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Elemente ale florei spontane în gospodăria ţărănească din Oltenia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(Elements of the spontaneous flora used in the peasant farmstead of Oltenia)</w:t>
      </w:r>
      <w:r w:rsidR="00C238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197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Roxana Iordache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Câteva constatări despre căsătorie şi practica divorţului la români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(Some Findings on Mariage and Divorce with the Romanian People)</w:t>
      </w:r>
      <w:r w:rsidR="00052F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213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Bojan Žirić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Meaning of the Serbian Ritual Costume’s Usage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221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Mihai Fifor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Mihaela Berceanu,</w:t>
      </w:r>
      <w:r w:rsidR="001728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Consideraţii teoretice privind antropologia minorităţilor etnice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(Theoretical Considerations concerning the Antropology of the Ethnic Minority)</w:t>
      </w:r>
      <w:r w:rsidR="008E42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233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SOCIOLOGIE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Ileana Roman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Valori ale tranziţiei şi modernităţi în constituirea tinerelor cupluri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(Values of Transition and Modernity in the Constitution of </w:t>
      </w:r>
      <w:r w:rsidR="00052F7A">
        <w:rPr>
          <w:rFonts w:ascii="Times New Roman" w:hAnsi="Times New Roman" w:cs="Times New Roman"/>
          <w:sz w:val="24"/>
          <w:szCs w:val="24"/>
          <w:lang w:val="ro-RO"/>
        </w:rPr>
        <w:t>Y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oung Couples)</w:t>
      </w:r>
      <w:r w:rsidR="008E42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247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Rodica Ţugui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Investigaţii asupra familiei în cadrul şcolii sociologice a lui Dimitrie Gusti. Contribuţia Xeniei Costa-Foru </w:t>
      </w:r>
      <w:r w:rsidR="008E42D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75F4C">
        <w:rPr>
          <w:rFonts w:ascii="Times New Roman" w:hAnsi="Times New Roman" w:cs="Times New Roman"/>
          <w:sz w:val="24"/>
          <w:szCs w:val="24"/>
          <w:lang w:val="ro-RO"/>
        </w:rPr>
        <w:t>Des investigations sur la famille dans le cadre de l'école de Dimitrie Gusti. Les contributions de Xenia Costa-Foru</w:t>
      </w:r>
      <w:r w:rsidR="008E42D9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257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FILOSOFIE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Ion Militaru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Locul şi rolul istoriei româneşti în filosofia lui Constantin Noica </w:t>
      </w:r>
      <w:r w:rsidR="009C60E2" w:rsidRPr="009C60E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C60E2">
        <w:rPr>
          <w:rFonts w:ascii="Times New Roman" w:hAnsi="Times New Roman" w:cs="Times New Roman"/>
          <w:sz w:val="24"/>
          <w:szCs w:val="24"/>
          <w:lang w:val="ro-RO"/>
        </w:rPr>
        <w:t>Le lieu et le sens de l'histoire roumaine dans la philosophie de Constantin Noica</w:t>
      </w:r>
      <w:r w:rsidR="009C60E2" w:rsidRPr="009C60E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C60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265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ECONOMIE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Mihai Costescu, Marian Constantin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Consideraţii metodologice-aplicative privind previziunea pieţei produselor alimentare </w:t>
      </w:r>
      <w:r w:rsidR="00BE651E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6538A">
        <w:rPr>
          <w:rFonts w:ascii="Times New Roman" w:hAnsi="Times New Roman" w:cs="Times New Roman"/>
          <w:sz w:val="24"/>
          <w:szCs w:val="24"/>
          <w:lang w:val="ro-RO"/>
        </w:rPr>
        <w:t>Tendances et perspectives concernant le marché agroalimentaire</w:t>
      </w:r>
      <w:r w:rsidR="00BE651E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287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RECENZII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>SINGIDUNUM, 1 Beograd, 1977, (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>Gheorghe Popilian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)///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297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Valeriu Stan,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Ion Voiculescu II (1808-1855),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Bucureşti, Silex, 1997, 102 p.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(Paul-Emanoil Barbu)</w:t>
      </w:r>
      <w:r w:rsidR="00C238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>/// 300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Iordan Datcu, </w:t>
      </w:r>
      <w:r w:rsidRPr="006A51E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Dicţionar al etnologilor români,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2 volume, Bucureşti, Editura Saeculum, I.O., 1998 </w:t>
      </w:r>
      <w:r w:rsidRPr="006A51E6">
        <w:rPr>
          <w:rFonts w:ascii="Times New Roman" w:hAnsi="Times New Roman" w:cs="Times New Roman"/>
          <w:b/>
          <w:sz w:val="24"/>
          <w:szCs w:val="24"/>
          <w:lang w:val="ro-RO"/>
        </w:rPr>
        <w:t>(Gheorghe Iordache)</w:t>
      </w:r>
      <w:r w:rsidR="00C238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302</w:t>
      </w: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12C4" w:rsidRPr="006A51E6" w:rsidRDefault="002912C4" w:rsidP="002912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51E6">
        <w:rPr>
          <w:rFonts w:ascii="Times New Roman" w:hAnsi="Times New Roman" w:cs="Times New Roman"/>
          <w:sz w:val="24"/>
          <w:szCs w:val="24"/>
          <w:lang w:val="ro-RO"/>
        </w:rPr>
        <w:t>ABREVIERI</w:t>
      </w:r>
      <w:r w:rsidR="00C238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A51E6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6A51E6">
        <w:rPr>
          <w:rFonts w:ascii="Times New Roman" w:hAnsi="Times New Roman" w:cs="Times New Roman"/>
          <w:b/>
          <w:i/>
          <w:sz w:val="24"/>
          <w:szCs w:val="24"/>
          <w:lang w:val="ro-RO"/>
        </w:rPr>
        <w:t>269</w:t>
      </w:r>
    </w:p>
    <w:p w:rsidR="004C014D" w:rsidRDefault="004C014D"/>
    <w:sectPr w:rsidR="004C014D" w:rsidSect="002D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2C4"/>
    <w:rsid w:val="00000DEB"/>
    <w:rsid w:val="00051597"/>
    <w:rsid w:val="00052F7A"/>
    <w:rsid w:val="000858D2"/>
    <w:rsid w:val="0017288F"/>
    <w:rsid w:val="001B390C"/>
    <w:rsid w:val="002912C4"/>
    <w:rsid w:val="002D425B"/>
    <w:rsid w:val="00311CC9"/>
    <w:rsid w:val="003806EB"/>
    <w:rsid w:val="003D115A"/>
    <w:rsid w:val="004C014D"/>
    <w:rsid w:val="00580D92"/>
    <w:rsid w:val="005A0243"/>
    <w:rsid w:val="00703AC2"/>
    <w:rsid w:val="008251BF"/>
    <w:rsid w:val="008E42D9"/>
    <w:rsid w:val="009C60E2"/>
    <w:rsid w:val="00BE651E"/>
    <w:rsid w:val="00C23835"/>
    <w:rsid w:val="00C3486E"/>
    <w:rsid w:val="00C542B6"/>
    <w:rsid w:val="00D87FF2"/>
    <w:rsid w:val="00DE023F"/>
    <w:rsid w:val="00F6538A"/>
    <w:rsid w:val="00F75F4C"/>
    <w:rsid w:val="00F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2016-06-01T08:00:00Z</dcterms:created>
  <dcterms:modified xsi:type="dcterms:W3CDTF">2016-06-08T09:39:00Z</dcterms:modified>
</cp:coreProperties>
</file>