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ARHIVELE OLTENIEI, Serie Nouă, nr. 9/ 1994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ARHEOLOGIE-ISTORIE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Marin Nica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Câteva date despre aşezarea neo-litică de </w:t>
      </w:r>
      <w:smartTag w:uri="urn:schemas-microsoft-com:office:smarttags" w:element="PersonName">
        <w:smartTagPr>
          <w:attr w:name="ProductID" w:val="la Gârleşti"/>
        </w:smartTagPr>
        <w:r w:rsidRPr="00E31D08">
          <w:rPr>
            <w:rFonts w:ascii="Times New Roman" w:hAnsi="Times New Roman"/>
            <w:i/>
            <w:sz w:val="24"/>
            <w:szCs w:val="24"/>
            <w:lang w:val="ro-RO"/>
          </w:rPr>
          <w:t>la Gârleşti</w:t>
        </w:r>
      </w:smartTag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(com. Mischii, jud. Dolj)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(Quelques données sur l`éteblissement de Gârleşti, com. Mischii, département de Dol</w:t>
      </w:r>
      <w:r w:rsidR="003F7A12">
        <w:rPr>
          <w:rFonts w:ascii="Times New Roman" w:hAnsi="Times New Roman"/>
          <w:i/>
          <w:sz w:val="24"/>
          <w:szCs w:val="24"/>
          <w:lang w:val="ro-RO"/>
        </w:rPr>
        <w:t>j</w:t>
      </w:r>
      <w:r>
        <w:rPr>
          <w:rFonts w:ascii="Times New Roman" w:hAnsi="Times New Roman"/>
          <w:i/>
          <w:sz w:val="24"/>
          <w:szCs w:val="24"/>
          <w:lang w:val="ro-RO"/>
        </w:rPr>
        <w:t>)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3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Gheorghe Petre, Alexandru Vulpe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Depozitul de vase ceramice de </w:t>
      </w:r>
      <w:smartTag w:uri="urn:schemas-microsoft-com:office:smarttags" w:element="PersonName">
        <w:smartTagPr>
          <w:attr w:name="ProductID" w:val="la Bistriţa"/>
        </w:smartTagPr>
        <w:r w:rsidRPr="00E31D08">
          <w:rPr>
            <w:rFonts w:ascii="Times New Roman" w:hAnsi="Times New Roman"/>
            <w:i/>
            <w:sz w:val="24"/>
            <w:szCs w:val="24"/>
            <w:lang w:val="ro-RO"/>
          </w:rPr>
          <w:t>la Bistriţa</w:t>
        </w:r>
      </w:smartTag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(Vâlcea)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(Der Keramische Depotfund von Bistriţa Kreis Vâlcea)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25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Constantin, C. Petolescu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Svcidava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43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Gheorghe Popilian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Despre lucernae-le cu marca lui ARMENIVS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(Sur le lampes la marque d`ARMENIVS)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47</w:t>
      </w:r>
    </w:p>
    <w:p w:rsidR="00EA1941" w:rsidRPr="00E31D08" w:rsidRDefault="00EA1941" w:rsidP="002405C2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Mircea Negru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Contribuţii la repertoriul arheologic al judeţului Dolj. Cercetări arheologice de suprafaţă în bazinul inferior al Jiului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(Contribution to the archeological repertory of the district of Dolj. Surficial research in the lower Jiu basin)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>///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61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Dinică Ciobotea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Proprietatea moşnenească în Dolj</w:t>
      </w:r>
      <w:r w:rsidR="00FC013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Pr="004E2759">
        <w:rPr>
          <w:rFonts w:ascii="Times New Roman" w:hAnsi="Times New Roman"/>
          <w:i/>
          <w:sz w:val="24"/>
          <w:szCs w:val="24"/>
          <w:lang w:val="ro-RO"/>
        </w:rPr>
        <w:t>La propri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été des moshneni au départament de Dolj) 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83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Paul Barbu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Consideraţii privind creşterea animalelor în Români între anii 1860-1921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(Considerations referring to the breeding of animals in Romania between 1860-1921)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99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Cezar Avram, Ion Zarzără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Legile speciale privind colectivizarea (1949-1953)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(The Special Laws Concerning Collectivization 1949-1953)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115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ISTORIE LITERARĂ-LINGVISTICĂ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Ovidiu Ghidirmic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Ideologia eminesciană şi semănătorismul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(Eminescu`s Ideology and the Semanatorismul)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133</w:t>
      </w:r>
    </w:p>
    <w:p w:rsidR="00EA1941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Stela Rădulescu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Onomastică în „Poveşti olteneşti” de C.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S. Nicolăescu-Plopşor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F0329A">
        <w:rPr>
          <w:rFonts w:ascii="Times New Roman" w:hAnsi="Times New Roman"/>
          <w:i/>
          <w:sz w:val="24"/>
          <w:szCs w:val="24"/>
          <w:lang w:val="ro-RO"/>
        </w:rPr>
        <w:t>L`onomastique du volume „Contes olténie</w:t>
      </w:r>
      <w:r>
        <w:rPr>
          <w:rFonts w:ascii="Times New Roman" w:hAnsi="Times New Roman"/>
          <w:i/>
          <w:sz w:val="24"/>
          <w:szCs w:val="24"/>
          <w:lang w:val="ro-RO"/>
        </w:rPr>
        <w:t>ns” par</w:t>
      </w:r>
      <w:r w:rsidRPr="002D7BA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C.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S. Nicolăescu-Plopşor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) ///153 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Ion Calotă,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Antroponime terminate grafic în –iu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(Les anthroponymes terminés par la graphie –iu) </w:t>
      </w:r>
      <w:r w:rsidRPr="00E31D08">
        <w:rPr>
          <w:rFonts w:ascii="Times New Roman" w:hAnsi="Times New Roman"/>
          <w:sz w:val="24"/>
          <w:szCs w:val="24"/>
          <w:lang w:val="ro-RO"/>
        </w:rPr>
        <w:t>///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153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i/>
          <w:sz w:val="24"/>
          <w:szCs w:val="24"/>
          <w:lang w:val="ro-RO"/>
        </w:rPr>
        <w:tab/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ETNOGRAFIE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Gheorghe Iordache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Vechimea, continuitatea şi intensitatea utilizării morii de apă pe cuprinsul României – subiecte încă discutabile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(Ancienneté, continuité et intensité a l`utilisation du moulin à eau sur le teritoire de </w:t>
      </w:r>
      <w:smartTag w:uri="urn:schemas-microsoft-com:office:smarttags" w:element="PersonName">
        <w:smartTagPr>
          <w:attr w:name="ProductID" w:val="la Roumanie"/>
        </w:smartTagPr>
        <w:r>
          <w:rPr>
            <w:rFonts w:ascii="Times New Roman" w:hAnsi="Times New Roman"/>
            <w:i/>
            <w:sz w:val="24"/>
            <w:szCs w:val="24"/>
            <w:lang w:val="ro-RO"/>
          </w:rPr>
          <w:t>la Roumanie</w:t>
        </w:r>
      </w:smartTag>
      <w:r>
        <w:rPr>
          <w:rFonts w:ascii="Times New Roman" w:hAnsi="Times New Roman"/>
          <w:i/>
          <w:sz w:val="24"/>
          <w:szCs w:val="24"/>
          <w:lang w:val="ro-RO"/>
        </w:rPr>
        <w:t xml:space="preserve"> – sujet encore disputés)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>///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169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Nicolae Niţu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Răspândirea oraşelor din România pe zone geografice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(La répartition des villes de </w:t>
      </w:r>
      <w:smartTag w:uri="urn:schemas-microsoft-com:office:smarttags" w:element="PersonName">
        <w:smartTagPr>
          <w:attr w:name="ProductID" w:val="la Roumanie"/>
        </w:smartTagPr>
        <w:r>
          <w:rPr>
            <w:rFonts w:ascii="Times New Roman" w:hAnsi="Times New Roman"/>
            <w:i/>
            <w:sz w:val="24"/>
            <w:szCs w:val="24"/>
            <w:lang w:val="ro-RO"/>
          </w:rPr>
          <w:t>la Roumanie</w:t>
        </w:r>
      </w:smartTag>
      <w:r>
        <w:rPr>
          <w:rFonts w:ascii="Times New Roman" w:hAnsi="Times New Roman"/>
          <w:i/>
          <w:sz w:val="24"/>
          <w:szCs w:val="24"/>
          <w:lang w:val="ro-RO"/>
        </w:rPr>
        <w:t xml:space="preserve"> en zones géographiques)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191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Georgeta Niţu, Nicolae Niţu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Contribuţii geografice în opera lui C.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S. Nicolaescu-Plopşor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(Contributions géographique dans l`oeuvre de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C.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S. Nicolăescu-Plopşor</w:t>
      </w:r>
      <w:r>
        <w:rPr>
          <w:rFonts w:ascii="Times New Roman" w:hAnsi="Times New Roman"/>
          <w:i/>
          <w:sz w:val="24"/>
          <w:szCs w:val="24"/>
          <w:lang w:val="ro-RO"/>
        </w:rPr>
        <w:t>)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199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Marcela Bratiloveanu-Popilian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Unele aspecte ale ritologiei mărului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(Quelques aspects sur la ritologie du pommier)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203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FILOSOFIE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Ion Militaru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Introducere în filosofia lui Constantin Noica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(Introduction dans la philosophie de Constantin Noica)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213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SOCIOLOGIE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Ileana Roman,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Coordonate sociologice ale gândirii lui Eugeniu Speranţia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(Des repères sociologique de la pensée de Eugeniu Sperantia)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>///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223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Rodica Ţugui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„Criza familiei” concept şi realitate socială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(La crise de la famille – concept et réalité sociale)  </w:t>
      </w:r>
      <w:r w:rsidRPr="00E31D08">
        <w:rPr>
          <w:rFonts w:ascii="Times New Roman" w:hAnsi="Times New Roman"/>
          <w:sz w:val="24"/>
          <w:szCs w:val="24"/>
          <w:lang w:val="ro-RO"/>
        </w:rPr>
        <w:t>///</w:t>
      </w:r>
      <w:r w:rsidR="00FC013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229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 xml:space="preserve">Dumitru Otovescu,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Mijloace şi mecanisme de reglementare a vieţii sociale</w:t>
      </w:r>
      <w:r w:rsidR="00FC0134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/>
        </w:rPr>
        <w:t>(Moyens et mécanismes de reglementation de la vie sociale)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>///</w:t>
      </w:r>
      <w:r w:rsidR="00FC013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241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ECONOMIE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Sabin Buleteanu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Particularităţi ale mijloacelor de muncă din agricultură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(Particularitées des moyens de travail dans l`agriculture)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251</w:t>
      </w:r>
    </w:p>
    <w:p w:rsidR="00EA1941" w:rsidRPr="00E31D08" w:rsidRDefault="00EA1941" w:rsidP="002405C2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Dima Ion Constantin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Unele precizări referitoare la relaţia funcţie şi producţie omogenă – funcţia costuri totale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(Quelques précisions à propos de la relation fonction et production homogène)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E31D08">
        <w:rPr>
          <w:rFonts w:ascii="Times New Roman" w:hAnsi="Times New Roman"/>
          <w:sz w:val="24"/>
          <w:szCs w:val="24"/>
          <w:lang w:val="ro-RO"/>
        </w:rPr>
        <w:t>///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259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RECENZII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sz w:val="24"/>
          <w:szCs w:val="24"/>
          <w:lang w:val="ro-RO"/>
        </w:rPr>
        <w:t>Alexandru Păunescu,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Ripiceni – Izvor. Paleolitic şi Mezolitic. Studiu monografic.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Biblioteca de Arheologie LII. Editura Academiei Române, 225p. +108 fig </w:t>
      </w:r>
      <w:r w:rsidRPr="00E31D08">
        <w:rPr>
          <w:rFonts w:ascii="Times New Roman" w:hAnsi="Times New Roman"/>
          <w:b/>
          <w:sz w:val="24"/>
          <w:szCs w:val="24"/>
          <w:lang w:val="ro-RO"/>
        </w:rPr>
        <w:t>(Emilian Alexandrescu)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 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263</w:t>
      </w:r>
    </w:p>
    <w:p w:rsidR="00EA1941" w:rsidRPr="00E31D08" w:rsidRDefault="00EA1941" w:rsidP="002405C2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sz w:val="24"/>
          <w:szCs w:val="24"/>
          <w:lang w:val="ro-RO"/>
        </w:rPr>
        <w:t xml:space="preserve">Valentin Vasiliev, Ioan Al. Aldea, Horia Ciugudean,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Civilizaţia dacică timpurie în aria intracarpatică a României, 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Editura Dacia, Cluj Napoca, 1991, 196p. +46 figuri </w:t>
      </w:r>
      <w:r w:rsidRPr="00E31D08">
        <w:rPr>
          <w:rFonts w:ascii="Times New Roman" w:hAnsi="Times New Roman"/>
          <w:b/>
          <w:sz w:val="24"/>
          <w:szCs w:val="24"/>
          <w:lang w:val="ro-RO"/>
        </w:rPr>
        <w:t>(Simona Lazăr)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 ///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 xml:space="preserve"> 265</w:t>
      </w:r>
    </w:p>
    <w:p w:rsidR="00EA1941" w:rsidRPr="00E31D08" w:rsidRDefault="00EA1941" w:rsidP="002405C2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sz w:val="24"/>
          <w:szCs w:val="24"/>
          <w:lang w:val="ro-RO"/>
        </w:rPr>
        <w:t xml:space="preserve">Alexandru Suceveanu, Alexandru Barnea, </w:t>
      </w:r>
      <w:smartTag w:uri="urn:schemas-microsoft-com:office:smarttags" w:element="PersonName">
        <w:smartTagPr>
          <w:attr w:name="ProductID" w:val="la Mehadia. Editura"/>
        </w:smartTagPr>
        <w:r w:rsidRPr="00E31D08">
          <w:rPr>
            <w:rFonts w:ascii="Times New Roman" w:hAnsi="Times New Roman"/>
            <w:i/>
            <w:sz w:val="24"/>
            <w:szCs w:val="24"/>
            <w:lang w:val="ro-RO"/>
          </w:rPr>
          <w:t>La Dobrodja Romaine</w:t>
        </w:r>
      </w:smartTag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E31D08">
        <w:rPr>
          <w:rFonts w:ascii="Times New Roman" w:hAnsi="Times New Roman"/>
          <w:sz w:val="24"/>
          <w:szCs w:val="24"/>
          <w:lang w:val="ro-RO"/>
        </w:rPr>
        <w:t>Editura Ştiinţifică, Bucureşti, 1991, 334p. + 22 figuri în text (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G. Popilian</w:t>
      </w:r>
      <w:r w:rsidRPr="00E31D08">
        <w:rPr>
          <w:rFonts w:ascii="Times New Roman" w:hAnsi="Times New Roman"/>
          <w:sz w:val="24"/>
          <w:szCs w:val="24"/>
          <w:lang w:val="ro-RO"/>
        </w:rPr>
        <w:t>)///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265</w:t>
      </w:r>
    </w:p>
    <w:p w:rsidR="00EA1941" w:rsidRPr="00E31D08" w:rsidRDefault="00EA1941" w:rsidP="002405C2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sz w:val="24"/>
          <w:szCs w:val="24"/>
          <w:lang w:val="ro-RO"/>
        </w:rPr>
        <w:t xml:space="preserve">Mihail Macrea, Nicolae Gudea, Iancu Moţu,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 Praetorium. Castrul şi aşezarea romană de </w:t>
      </w:r>
      <w:smartTag w:uri="urn:schemas-microsoft-com:office:smarttags" w:element="PersonName">
        <w:smartTagPr>
          <w:attr w:name="ProductID" w:val="la Mehadia. Editura"/>
        </w:smartTagPr>
        <w:r w:rsidRPr="00E31D08">
          <w:rPr>
            <w:rFonts w:ascii="Times New Roman" w:hAnsi="Times New Roman"/>
            <w:i/>
            <w:sz w:val="24"/>
            <w:szCs w:val="24"/>
            <w:lang w:val="ro-RO"/>
          </w:rPr>
          <w:t xml:space="preserve">la Mehadia. </w:t>
        </w:r>
        <w:r w:rsidRPr="00E31D08">
          <w:rPr>
            <w:rFonts w:ascii="Times New Roman" w:hAnsi="Times New Roman"/>
            <w:sz w:val="24"/>
            <w:szCs w:val="24"/>
            <w:lang w:val="ro-RO"/>
          </w:rPr>
          <w:t>Editura</w:t>
        </w:r>
      </w:smartTag>
      <w:r w:rsidRPr="00E31D08">
        <w:rPr>
          <w:rFonts w:ascii="Times New Roman" w:hAnsi="Times New Roman"/>
          <w:sz w:val="24"/>
          <w:szCs w:val="24"/>
          <w:lang w:val="ro-RO"/>
        </w:rPr>
        <w:t xml:space="preserve"> Academiei, 1993, 155 p. + LXII pl. + 19 figuri în text (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G. Popilian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) 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267</w:t>
      </w:r>
    </w:p>
    <w:p w:rsidR="00EA1941" w:rsidRPr="00E31D08" w:rsidRDefault="00EA1941" w:rsidP="002405C2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sz w:val="24"/>
          <w:szCs w:val="24"/>
          <w:lang w:val="ro-RO"/>
        </w:rPr>
        <w:t xml:space="preserve">B. Fundoianu, 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 xml:space="preserve">Conştiinţa nefericită (traducere de Andreea Vlădescu), </w:t>
      </w:r>
      <w:r w:rsidRPr="00E31D08">
        <w:rPr>
          <w:rFonts w:ascii="Times New Roman" w:hAnsi="Times New Roman"/>
          <w:sz w:val="24"/>
          <w:szCs w:val="24"/>
          <w:lang w:val="ro-RO"/>
        </w:rPr>
        <w:t>Editura Humanitas, Bucureşti, 1993, 303 pagini (</w:t>
      </w:r>
      <w:r w:rsidRPr="00E31D08">
        <w:rPr>
          <w:rFonts w:ascii="Times New Roman" w:hAnsi="Times New Roman"/>
          <w:i/>
          <w:sz w:val="24"/>
          <w:szCs w:val="24"/>
          <w:lang w:val="ro-RO"/>
        </w:rPr>
        <w:t>Ion Militaru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) 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269</w:t>
      </w:r>
    </w:p>
    <w:p w:rsidR="00EA1941" w:rsidRPr="00E31D08" w:rsidRDefault="00EA1941" w:rsidP="002405C2">
      <w:pPr>
        <w:spacing w:after="0" w:line="240" w:lineRule="auto"/>
        <w:ind w:hanging="851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OBITUARIA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1D08">
        <w:rPr>
          <w:rFonts w:ascii="Times New Roman" w:hAnsi="Times New Roman"/>
          <w:sz w:val="24"/>
          <w:szCs w:val="24"/>
          <w:lang w:val="ro-RO"/>
        </w:rPr>
        <w:t xml:space="preserve">Academician D.M. Pippidi – </w:t>
      </w:r>
      <w:r w:rsidRPr="00E31D08">
        <w:rPr>
          <w:rFonts w:ascii="Times New Roman" w:hAnsi="Times New Roman"/>
          <w:b/>
          <w:sz w:val="24"/>
          <w:szCs w:val="24"/>
          <w:lang w:val="ro-RO"/>
        </w:rPr>
        <w:t>(G. Popilian)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 ///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 xml:space="preserve"> 271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31D08">
        <w:rPr>
          <w:rFonts w:ascii="Times New Roman" w:hAnsi="Times New Roman"/>
          <w:sz w:val="24"/>
          <w:szCs w:val="24"/>
          <w:lang w:val="ro-RO"/>
        </w:rPr>
        <w:t xml:space="preserve">Aurelian Popescu – </w:t>
      </w:r>
      <w:r w:rsidRPr="00E31D08">
        <w:rPr>
          <w:rFonts w:ascii="Times New Roman" w:hAnsi="Times New Roman"/>
          <w:b/>
          <w:sz w:val="24"/>
          <w:szCs w:val="24"/>
          <w:lang w:val="ro-RO"/>
        </w:rPr>
        <w:t>(M. Bratiloveanu-Popilian)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 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275</w:t>
      </w: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A1941" w:rsidRPr="00E31D08" w:rsidRDefault="00EA1941" w:rsidP="00240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1D08">
        <w:rPr>
          <w:rFonts w:ascii="Times New Roman" w:hAnsi="Times New Roman"/>
          <w:b/>
          <w:sz w:val="24"/>
          <w:szCs w:val="24"/>
          <w:lang w:val="ro-RO"/>
        </w:rPr>
        <w:t>ABREVIERI</w:t>
      </w:r>
      <w:r w:rsidRPr="00E31D08">
        <w:rPr>
          <w:rFonts w:ascii="Times New Roman" w:hAnsi="Times New Roman"/>
          <w:sz w:val="24"/>
          <w:szCs w:val="24"/>
          <w:lang w:val="ro-RO"/>
        </w:rPr>
        <w:t xml:space="preserve"> /// </w:t>
      </w:r>
      <w:r w:rsidRPr="00E31D08">
        <w:rPr>
          <w:rFonts w:ascii="Times New Roman" w:hAnsi="Times New Roman"/>
          <w:b/>
          <w:i/>
          <w:sz w:val="24"/>
          <w:szCs w:val="24"/>
          <w:lang w:val="ro-RO"/>
        </w:rPr>
        <w:t>277</w:t>
      </w:r>
    </w:p>
    <w:p w:rsidR="00EA1941" w:rsidRDefault="00EA1941"/>
    <w:sectPr w:rsidR="00EA1941" w:rsidSect="0025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C2"/>
    <w:rsid w:val="002405C2"/>
    <w:rsid w:val="00253F99"/>
    <w:rsid w:val="002D7BAA"/>
    <w:rsid w:val="00390F67"/>
    <w:rsid w:val="00392709"/>
    <w:rsid w:val="003F3EB5"/>
    <w:rsid w:val="003F7A12"/>
    <w:rsid w:val="00464F49"/>
    <w:rsid w:val="004E2759"/>
    <w:rsid w:val="007F2312"/>
    <w:rsid w:val="00853905"/>
    <w:rsid w:val="00867A49"/>
    <w:rsid w:val="00A1401E"/>
    <w:rsid w:val="00DA5C91"/>
    <w:rsid w:val="00E31D08"/>
    <w:rsid w:val="00EA1941"/>
    <w:rsid w:val="00F0329A"/>
    <w:rsid w:val="00FC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2016-06-01T07:55:00Z</dcterms:created>
  <dcterms:modified xsi:type="dcterms:W3CDTF">2016-06-08T09:23:00Z</dcterms:modified>
</cp:coreProperties>
</file>