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ARHIVELE OLTENIEI, Serie Nouă, nr. 10/1995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ARHEOLOGIE-ISTORIE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Elizabeth H. Dinan, Marin Nica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Tehnologia litică în aşezările  neoliticului timpuriu din Oltenia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(The Lithic Technology in the Early Neolithic sites in Oltenia)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="002A1CC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3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Vlad Vintilă Zirra, Dan Pop,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Săpăturile de </w:t>
      </w:r>
      <w:smartTag w:uri="urn:schemas-microsoft-com:office:smarttags" w:element="PersonName">
        <w:smartTagPr>
          <w:attr w:name="ProductID" w:val="la Bâzdâna"/>
        </w:smartTagPr>
        <w:r w:rsidRPr="006A51E6">
          <w:rPr>
            <w:rFonts w:ascii="Times New Roman" w:hAnsi="Times New Roman"/>
            <w:i/>
            <w:sz w:val="24"/>
            <w:szCs w:val="24"/>
            <w:lang w:val="ro-RO"/>
          </w:rPr>
          <w:t>la Bâzdâna</w:t>
        </w:r>
      </w:smartTag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– Calopăr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„La cetate”, judeţul Dolj. Campania 1993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(La fouilles de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Bâzdâna – Calopăr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o-RO"/>
        </w:rPr>
        <w:t>„La cetate”, dép.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Dolj</w:t>
      </w:r>
      <w:r>
        <w:rPr>
          <w:rFonts w:ascii="Times New Roman" w:hAnsi="Times New Roman"/>
          <w:i/>
          <w:sz w:val="24"/>
          <w:szCs w:val="24"/>
          <w:lang w:val="ro-RO"/>
        </w:rPr>
        <w:t>. La campagne de 1993)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="002A1CC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13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Constantin C. Petolescu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Un edificiu militar roman: Basilica</w:t>
      </w:r>
      <w:r w:rsidR="002A1CC0">
        <w:rPr>
          <w:rFonts w:ascii="Times New Roman" w:hAnsi="Times New Roman"/>
          <w:i/>
          <w:sz w:val="24"/>
          <w:szCs w:val="24"/>
          <w:lang w:val="ro-RO"/>
        </w:rPr>
        <w:t xml:space="preserve"> (Un édifice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militaire romaine:basilica)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="002A1CC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29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Vladimir Osiac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Pandurii – în apărare</w:t>
      </w:r>
      <w:r w:rsidR="002A1CC0">
        <w:rPr>
          <w:rFonts w:ascii="Times New Roman" w:hAnsi="Times New Roman"/>
          <w:i/>
          <w:sz w:val="24"/>
          <w:szCs w:val="24"/>
          <w:lang w:val="ro-RO"/>
        </w:rPr>
        <w:t xml:space="preserve">a revoluţiei de la 1848 în Ţara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Românească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(Les pandoures dans la lutte pour la défense de la Révolution</w:t>
      </w:r>
      <w:r w:rsidR="002A1CC0">
        <w:rPr>
          <w:rFonts w:ascii="Times New Roman" w:hAnsi="Times New Roman"/>
          <w:i/>
          <w:sz w:val="24"/>
          <w:szCs w:val="24"/>
          <w:lang w:val="ro-RO"/>
        </w:rPr>
        <w:t xml:space="preserve"> de 1848 en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Valachie)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37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Paul Barbu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Obştile de arendare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(The leasing communities)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="002A1CC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49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Cezar Avram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Modificările în domeniul social în satul oltean în anii colectivizării: 1949-1955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(Social changes in the Oltenia villages during the collectivisation of agriculture: 1949-1955)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65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LINGVISTICĂ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Ion Calotă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Ortografia românească în Basarabia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(L`ortographe roumaine en Basarabie)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="002A1CC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79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Emilian N. Bureţea</w:t>
      </w:r>
      <w:r w:rsidRPr="006A51E6">
        <w:rPr>
          <w:rFonts w:ascii="Times New Roman" w:hAnsi="Times New Roman"/>
          <w:sz w:val="24"/>
          <w:szCs w:val="24"/>
          <w:lang w:val="ro-RO"/>
        </w:rPr>
        <w:t>,</w:t>
      </w:r>
      <w:r w:rsidR="00406EF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Observaţii asupra numelor de locuri româneşti cu secvenţa finală –a </w:t>
      </w:r>
      <w:r>
        <w:rPr>
          <w:rFonts w:ascii="Times New Roman" w:hAnsi="Times New Roman"/>
          <w:i/>
          <w:sz w:val="24"/>
          <w:szCs w:val="24"/>
          <w:lang w:val="ro-RO"/>
        </w:rPr>
        <w:t>(Observations sur les nomes de lieux roumains finissant en  -a)</w:t>
      </w:r>
      <w:r w:rsidR="002A1CC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87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Radu Sp. Popescu, Ion Toma, Todor Balkanski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Etimologia numelui topic „Craiova”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(Etymology of the Toponym „Craiova”)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99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Stela Rădulescu, Dinică Ciobotea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Antroponimia satului Slătioara din judeţul Olt, într-un document inedit, datat 7 mai 1818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(L`antroponymie du village Slatioara du dép. D`Olt dans un document inédit)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="002A1CC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109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ETNOGRAFIE-FOLCLOR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Gheorghe Iordache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Felurile proprietăţii asupra morilor de apă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(Types de propriété sur les moulins à eau en Roumanie)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="002A1CC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123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 xml:space="preserve">Nicolae Niţu,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Instrumente şi maşini de selectat cereale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(Instruments and Machines Used in thrashing Cereals)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131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Georgeta Niţu,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Elemente ale florei spontane utilizate în gospodăria ţărănească din Oltenia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(Elements of the Spontanaeous Flora Used in the Peasant Farmstead of Oltenia)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133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Lucia Berdan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„Vânzarea simbolică” – o străveche practică magică în riturile de trecere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(„</w:t>
      </w:r>
      <w:smartTag w:uri="urn:schemas-microsoft-com:office:smarttags" w:element="PersonName">
        <w:smartTagPr>
          <w:attr w:name="ProductID" w:val="La Venta"/>
        </w:smartTagPr>
        <w:smartTag w:uri="urn:schemas-microsoft-com:office:smarttags" w:element="PersonName">
          <w:smartTagPr>
            <w:attr w:name="ProductID" w:val="La Venta Symbolique"/>
          </w:smartTagPr>
          <w:r>
            <w:rPr>
              <w:rFonts w:ascii="Times New Roman" w:hAnsi="Times New Roman"/>
              <w:i/>
              <w:sz w:val="24"/>
              <w:szCs w:val="24"/>
              <w:lang w:val="ro-RO"/>
            </w:rPr>
            <w:t>La Venta</w:t>
          </w:r>
        </w:smartTag>
        <w:r>
          <w:rPr>
            <w:rFonts w:ascii="Times New Roman" w:hAnsi="Times New Roman"/>
            <w:i/>
            <w:sz w:val="24"/>
            <w:szCs w:val="24"/>
            <w:lang w:val="ro-RO"/>
          </w:rPr>
          <w:t xml:space="preserve"> Symbolique</w:t>
        </w:r>
      </w:smartTag>
      <w:r>
        <w:rPr>
          <w:rFonts w:ascii="Times New Roman" w:hAnsi="Times New Roman"/>
          <w:i/>
          <w:sz w:val="24"/>
          <w:szCs w:val="24"/>
          <w:lang w:val="ro-RO"/>
        </w:rPr>
        <w:t>” ancienne pratique magique dans les rittes de passage)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165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Mihai Fifor,</w:t>
      </w:r>
      <w:r w:rsidR="002A1CC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Cântecul ritual funerar – contribuţii la analiza simbolurilor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(The Ritual Funeral Song – contributions to the Simbol`s Analysis)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173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Nicolae Panea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,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Tudor Vladimirescu şi predestinarea – text  şi strategii mentalitare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(Tudor Vladimirescu et la prédestination)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181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FILOSOFIE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Ion Militaru,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A1CC0">
        <w:rPr>
          <w:rFonts w:ascii="Times New Roman" w:hAnsi="Times New Roman"/>
          <w:i/>
          <w:sz w:val="24"/>
          <w:szCs w:val="24"/>
          <w:lang w:val="ro-RO"/>
        </w:rPr>
        <w:t>Cum a fost posibilă „despărţirea de Goethe”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? </w:t>
      </w:r>
      <w:r>
        <w:rPr>
          <w:rFonts w:ascii="Times New Roman" w:hAnsi="Times New Roman"/>
          <w:sz w:val="24"/>
          <w:szCs w:val="24"/>
          <w:lang w:val="ro-RO"/>
        </w:rPr>
        <w:t xml:space="preserve"> (Hos Was the „Separation from Goethe” possible?)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189</w:t>
      </w:r>
    </w:p>
    <w:p w:rsidR="00E60B37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lastRenderedPageBreak/>
        <w:t>ECONOMIE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Sabin Buleteanu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Rolul şi importanţa capitalului fix în activitatea economică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(Le role et l`importance du capital fix dans l`activité économique)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197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Mihai Costescu, Carmen Radu, Nicolae Vasilescu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Program aplicativ privind utilizarea funcţiilor statistico-matematice în calculele de previziune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(Programme concernant l`utilisation des fonctions statistique-mathématique dans les calculs de prédiction)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205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RECENZII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sz w:val="24"/>
          <w:szCs w:val="24"/>
          <w:lang w:val="ro-RO"/>
        </w:rPr>
        <w:t>STARINAR,Nouvelle serie, XLII, 1991, 217p., Beograd, 1993</w:t>
      </w:r>
      <w:r w:rsidRPr="006A51E6">
        <w:rPr>
          <w:rFonts w:ascii="Times New Roman" w:hAnsi="Times New Roman"/>
          <w:b/>
          <w:sz w:val="24"/>
          <w:szCs w:val="24"/>
          <w:lang w:val="ro-RO"/>
        </w:rPr>
        <w:t>(G. Popilian)</w:t>
      </w:r>
      <w:r w:rsidR="00406E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215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sz w:val="24"/>
          <w:szCs w:val="24"/>
          <w:lang w:val="ro-RO"/>
        </w:rPr>
        <w:t>ACTA MUSEI POROLISSENSIS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, XVII, 1993,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476 p. </w:t>
      </w:r>
      <w:r w:rsidRPr="006A51E6">
        <w:rPr>
          <w:rFonts w:ascii="Times New Roman" w:hAnsi="Times New Roman"/>
          <w:b/>
          <w:sz w:val="24"/>
          <w:szCs w:val="24"/>
          <w:lang w:val="ro-RO"/>
        </w:rPr>
        <w:t>(Dan Bălteanu)</w:t>
      </w:r>
      <w:r w:rsidR="00406E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 xml:space="preserve">217 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sz w:val="24"/>
          <w:szCs w:val="24"/>
          <w:lang w:val="ro-RO"/>
        </w:rPr>
        <w:t xml:space="preserve">Miodrag Tomovici,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Roman Sculpture in Upper Moesia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„Monographies”, no. 24, Institutul Arheologic din Belgrad, Belgrad, 1992, 145 p. + 58 planşe + 3 hărţi </w:t>
      </w:r>
      <w:r w:rsidRPr="006A51E6">
        <w:rPr>
          <w:rFonts w:ascii="Times New Roman" w:hAnsi="Times New Roman"/>
          <w:b/>
          <w:sz w:val="24"/>
          <w:szCs w:val="24"/>
          <w:lang w:val="ro-RO"/>
        </w:rPr>
        <w:t>(Gh. Popilian)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218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sz w:val="24"/>
          <w:szCs w:val="24"/>
          <w:lang w:val="ro-RO"/>
        </w:rPr>
        <w:t xml:space="preserve">Judith Topal,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Roman Cemeteries of Aquincum, Pannonia. The Western Cemetery (Bécsi Road)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, Budapest, 1993, 321 p., 4 hărţi, 200 planşe, 24 tabele </w:t>
      </w:r>
      <w:r w:rsidRPr="006A51E6">
        <w:rPr>
          <w:rFonts w:ascii="Times New Roman" w:hAnsi="Times New Roman"/>
          <w:b/>
          <w:sz w:val="24"/>
          <w:szCs w:val="24"/>
          <w:lang w:val="ro-RO"/>
        </w:rPr>
        <w:t>(Mircea Negru)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221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sz w:val="24"/>
          <w:szCs w:val="24"/>
          <w:lang w:val="ro-RO"/>
        </w:rPr>
        <w:t xml:space="preserve">Ulrich Hübinger,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Die Antiken Lampen des Akademischen Kunstmuseums der Universität, </w:t>
      </w:r>
      <w:r w:rsidRPr="006A51E6">
        <w:rPr>
          <w:rFonts w:ascii="Times New Roman" w:hAnsi="Times New Roman"/>
          <w:sz w:val="24"/>
          <w:szCs w:val="24"/>
          <w:lang w:val="ro-RO"/>
        </w:rPr>
        <w:t>Bonn, Deutsches Archaologische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s Institut, Berlin, 1993,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164 p., 43 pl. </w:t>
      </w:r>
      <w:r w:rsidRPr="006A51E6">
        <w:rPr>
          <w:rFonts w:ascii="Times New Roman" w:hAnsi="Times New Roman"/>
          <w:b/>
          <w:sz w:val="24"/>
          <w:szCs w:val="24"/>
          <w:lang w:val="ro-RO"/>
        </w:rPr>
        <w:t>(Mircea Negru)</w:t>
      </w:r>
      <w:r w:rsidR="00406E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/>
          <w:sz w:val="24"/>
          <w:szCs w:val="24"/>
          <w:lang w:val="ro-RO"/>
        </w:rPr>
        <w:t>///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222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sz w:val="24"/>
          <w:szCs w:val="24"/>
          <w:lang w:val="ro-RO"/>
        </w:rPr>
        <w:t xml:space="preserve">Jean Cuisenier,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Le Feu vivant. La paranté et ses rituels dans les Carpates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. Presses Universitaires de France, 1994, 448 p. </w:t>
      </w:r>
      <w:r w:rsidRPr="006A51E6">
        <w:rPr>
          <w:rFonts w:ascii="Times New Roman" w:hAnsi="Times New Roman"/>
          <w:b/>
          <w:sz w:val="24"/>
          <w:szCs w:val="24"/>
          <w:lang w:val="ro-RO"/>
        </w:rPr>
        <w:t>(Nicolae Panea)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 /// 223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sz w:val="24"/>
          <w:szCs w:val="24"/>
          <w:lang w:val="ro-RO"/>
        </w:rPr>
        <w:t xml:space="preserve">Michel Meslin,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>Ştiinţa religiilor (</w:t>
      </w:r>
      <w:r w:rsidRPr="006A51E6">
        <w:rPr>
          <w:rFonts w:ascii="Times New Roman" w:hAnsi="Times New Roman"/>
          <w:sz w:val="24"/>
          <w:szCs w:val="24"/>
          <w:lang w:val="ro-RO"/>
        </w:rPr>
        <w:t>traducere din limba franceză de Suzana Russo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).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Editura Humanitas, Bucureşti, 1993, 288 p. </w:t>
      </w:r>
      <w:r w:rsidRPr="006A51E6">
        <w:rPr>
          <w:rFonts w:ascii="Times New Roman" w:hAnsi="Times New Roman"/>
          <w:b/>
          <w:sz w:val="24"/>
          <w:szCs w:val="24"/>
          <w:lang w:val="ro-RO"/>
        </w:rPr>
        <w:t xml:space="preserve">(Mihai Fifor)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224</w:t>
      </w:r>
    </w:p>
    <w:p w:rsidR="00E60B37" w:rsidRPr="006A51E6" w:rsidRDefault="00E60B37" w:rsidP="005B6F3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6A51E6">
        <w:rPr>
          <w:rFonts w:ascii="Times New Roman" w:hAnsi="Times New Roman"/>
          <w:sz w:val="24"/>
          <w:szCs w:val="24"/>
          <w:lang w:val="ro-RO"/>
        </w:rPr>
        <w:t xml:space="preserve">Edmund Husserl, </w:t>
      </w:r>
      <w:r w:rsidRPr="006A51E6">
        <w:rPr>
          <w:rFonts w:ascii="Times New Roman" w:hAnsi="Times New Roman"/>
          <w:i/>
          <w:sz w:val="24"/>
          <w:szCs w:val="24"/>
          <w:lang w:val="ro-RO"/>
        </w:rPr>
        <w:t xml:space="preserve">Scrieri filosofice alese, 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traducere, prefaţă şi comentarii de Alexandru Boboc, Editura Academiei Române, Bucureşti, 1993, 253 p. </w:t>
      </w:r>
      <w:r w:rsidRPr="006A51E6">
        <w:rPr>
          <w:rFonts w:ascii="Times New Roman" w:hAnsi="Times New Roman"/>
          <w:b/>
          <w:sz w:val="24"/>
          <w:szCs w:val="24"/>
          <w:lang w:val="ro-RO"/>
        </w:rPr>
        <w:t>(Ion Militaru)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>225</w:t>
      </w:r>
    </w:p>
    <w:p w:rsidR="00E60B37" w:rsidRPr="006A51E6" w:rsidRDefault="00E60B37" w:rsidP="005B6F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/>
          <w:b/>
          <w:sz w:val="24"/>
          <w:szCs w:val="24"/>
          <w:lang w:val="ro-RO"/>
        </w:rPr>
        <w:t>ABREVIERI</w:t>
      </w:r>
      <w:r w:rsidRPr="006A51E6">
        <w:rPr>
          <w:rFonts w:ascii="Times New Roman" w:hAnsi="Times New Roman"/>
          <w:sz w:val="24"/>
          <w:szCs w:val="24"/>
          <w:lang w:val="ro-RO"/>
        </w:rPr>
        <w:t xml:space="preserve"> ///</w:t>
      </w:r>
      <w:r w:rsidRPr="006A51E6">
        <w:rPr>
          <w:rFonts w:ascii="Times New Roman" w:hAnsi="Times New Roman"/>
          <w:b/>
          <w:i/>
          <w:sz w:val="24"/>
          <w:szCs w:val="24"/>
          <w:lang w:val="ro-RO"/>
        </w:rPr>
        <w:t xml:space="preserve"> 229</w:t>
      </w:r>
    </w:p>
    <w:p w:rsidR="00E60B37" w:rsidRDefault="00E60B37"/>
    <w:sectPr w:rsidR="00E60B37" w:rsidSect="0010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F38"/>
    <w:rsid w:val="000B7763"/>
    <w:rsid w:val="001021DE"/>
    <w:rsid w:val="001102F6"/>
    <w:rsid w:val="00132D90"/>
    <w:rsid w:val="001F5A6A"/>
    <w:rsid w:val="00291750"/>
    <w:rsid w:val="002A1CC0"/>
    <w:rsid w:val="00406EF0"/>
    <w:rsid w:val="004C7717"/>
    <w:rsid w:val="005B6F38"/>
    <w:rsid w:val="006A51E6"/>
    <w:rsid w:val="00743BD9"/>
    <w:rsid w:val="00774A9E"/>
    <w:rsid w:val="00E60B37"/>
    <w:rsid w:val="00F10844"/>
    <w:rsid w:val="00F360E4"/>
    <w:rsid w:val="00F9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2016-06-01T07:56:00Z</dcterms:created>
  <dcterms:modified xsi:type="dcterms:W3CDTF">2016-06-08T09:27:00Z</dcterms:modified>
</cp:coreProperties>
</file>